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892675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0" cy="762000"/>
            <wp:effectExtent l="19050" t="0" r="0" b="0"/>
            <wp:docPr id="1" name="Picture 0" descr="RetailBankerInt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ailBankerInt_Logo_4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12" w:rsidRPr="00225812" w:rsidRDefault="00225812" w:rsidP="00225812"/>
    <w:p w:rsidR="00225812" w:rsidRPr="000507AA" w:rsidRDefault="00F5274E" w:rsidP="00225812">
      <w:pPr>
        <w:pStyle w:val="Title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Europe</w:t>
      </w:r>
      <w:r w:rsidR="00427CE3">
        <w:rPr>
          <w:sz w:val="56"/>
          <w:szCs w:val="56"/>
        </w:rPr>
        <w:t>an Retail Banking</w:t>
      </w:r>
      <w:r>
        <w:rPr>
          <w:sz w:val="56"/>
          <w:szCs w:val="56"/>
        </w:rPr>
        <w:t xml:space="preserve"> </w:t>
      </w:r>
      <w:r w:rsidR="00225812">
        <w:rPr>
          <w:sz w:val="56"/>
          <w:szCs w:val="56"/>
        </w:rPr>
        <w:t>Awards 201</w:t>
      </w:r>
      <w:r w:rsidR="008F377F">
        <w:rPr>
          <w:sz w:val="56"/>
          <w:szCs w:val="56"/>
        </w:rPr>
        <w:t>9</w:t>
      </w:r>
      <w:r w:rsidR="00225812" w:rsidRPr="000507AA">
        <w:rPr>
          <w:sz w:val="56"/>
          <w:szCs w:val="56"/>
        </w:rPr>
        <w:t xml:space="preserve"> 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8E00B7" w:rsidRDefault="00656F8E" w:rsidP="008E00B7">
      <w:pPr>
        <w:pStyle w:val="Header"/>
        <w:spacing w:after="0"/>
        <w:ind w:left="-567"/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CD5A63">
        <w:rPr>
          <w:b/>
          <w:color w:val="FF0000"/>
          <w:sz w:val="52"/>
        </w:rPr>
        <w:t>27</w:t>
      </w:r>
      <w:r w:rsidR="008F377F">
        <w:rPr>
          <w:b/>
          <w:color w:val="FF0000"/>
          <w:sz w:val="52"/>
        </w:rPr>
        <w:t>.0</w:t>
      </w:r>
      <w:r w:rsidR="00AA56B3">
        <w:rPr>
          <w:b/>
          <w:color w:val="FF0000"/>
          <w:sz w:val="52"/>
        </w:rPr>
        <w:t>9</w:t>
      </w:r>
      <w:r w:rsidR="008F377F">
        <w:rPr>
          <w:b/>
          <w:color w:val="FF0000"/>
          <w:sz w:val="52"/>
        </w:rPr>
        <w:t>.19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F5274E" w:rsidRPr="00AF40FE" w:rsidTr="008E00B7">
        <w:trPr>
          <w:trHeight w:val="268"/>
        </w:trPr>
        <w:tc>
          <w:tcPr>
            <w:tcW w:w="3969" w:type="dxa"/>
            <w:vMerge w:val="restart"/>
          </w:tcPr>
          <w:p w:rsidR="00F5274E" w:rsidRPr="00AF40FE" w:rsidRDefault="00F5274E" w:rsidP="001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</w:tc>
        <w:tc>
          <w:tcPr>
            <w:tcW w:w="5812" w:type="dxa"/>
            <w:gridSpan w:val="2"/>
            <w:vAlign w:val="center"/>
          </w:tcPr>
          <w:p w:rsidR="00F5274E" w:rsidRPr="008E00B7" w:rsidRDefault="00F5274E" w:rsidP="00F5274E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Mobile Banking Strategy</w:t>
            </w:r>
          </w:p>
        </w:tc>
        <w:tc>
          <w:tcPr>
            <w:tcW w:w="992" w:type="dxa"/>
          </w:tcPr>
          <w:p w:rsidR="00F5274E" w:rsidRPr="008E00B7" w:rsidRDefault="00F5274E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F5274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Open Banking Strategy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F5274E" w:rsidRDefault="00F5274E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Branch Strategy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F5274E" w:rsidRDefault="00F5274E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Self Service initiative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Digital Marketing and Social Media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use of Data Analytics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Product Innovation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payments Innovation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Security Innovation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Customer Centricity or Customer Experience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rFonts w:asciiTheme="minorHAnsi" w:hAnsiTheme="minorHAnsi"/>
                <w:b/>
                <w:sz w:val="20"/>
                <w:szCs w:val="20"/>
              </w:rPr>
              <w:t>Best Fintech Partnership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A41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F5274E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  <w:t>Best use of AI/machine learning in Retail Banking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30E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36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916223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5274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A60F5C">
        <w:trPr>
          <w:trHeight w:val="1226"/>
        </w:trPr>
        <w:tc>
          <w:tcPr>
            <w:tcW w:w="8364" w:type="dxa"/>
            <w:gridSpan w:val="2"/>
          </w:tcPr>
          <w:p w:rsidR="00F5274E" w:rsidRPr="008E00B7" w:rsidRDefault="00F5274E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409" w:type="dxa"/>
            <w:gridSpan w:val="2"/>
          </w:tcPr>
          <w:p w:rsidR="00F5274E" w:rsidRPr="004A2A2B" w:rsidRDefault="00F5274E" w:rsidP="00FA1537">
            <w:pPr>
              <w:rPr>
                <w:sz w:val="20"/>
                <w:szCs w:val="20"/>
              </w:rPr>
            </w:pPr>
          </w:p>
        </w:tc>
      </w:tr>
    </w:tbl>
    <w:p w:rsidR="00A76959" w:rsidRPr="00AD738D" w:rsidRDefault="00A76959" w:rsidP="00A60F5C">
      <w:pPr>
        <w:pStyle w:val="Header"/>
        <w:ind w:left="-426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5D56D0">
        <w:rPr>
          <w:b/>
          <w:color w:val="FF0000"/>
          <w:sz w:val="52"/>
        </w:rPr>
        <w:t>27</w:t>
      </w:r>
      <w:r w:rsidR="008F377F">
        <w:rPr>
          <w:b/>
          <w:color w:val="FF0000"/>
          <w:sz w:val="52"/>
        </w:rPr>
        <w:t>.0</w:t>
      </w:r>
      <w:r w:rsidR="00AA56B3">
        <w:rPr>
          <w:b/>
          <w:color w:val="FF0000"/>
          <w:sz w:val="52"/>
        </w:rPr>
        <w:t>9</w:t>
      </w:r>
      <w:r w:rsidR="008F377F">
        <w:rPr>
          <w:b/>
          <w:color w:val="FF0000"/>
          <w:sz w:val="52"/>
        </w:rPr>
        <w:t>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8E00B7">
        <w:trPr>
          <w:trHeight w:val="10370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AE29AC">
              <w:rPr>
                <w:sz w:val="18"/>
                <w:szCs w:val="20"/>
              </w:rPr>
              <w:t xml:space="preserve">lease describe in 500 – 1000 </w:t>
            </w:r>
            <w:r w:rsidRPr="0025436C">
              <w:rPr>
                <w:sz w:val="18"/>
                <w:szCs w:val="20"/>
              </w:rPr>
              <w:t>words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6E6B8B" w:rsidRPr="002064CE" w:rsidRDefault="006E6B8B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9" w:history="1">
        <w:r w:rsidR="008F377F" w:rsidRPr="008B7C2C">
          <w:rPr>
            <w:rStyle w:val="Hyperlink"/>
            <w:b/>
            <w:sz w:val="24"/>
            <w:szCs w:val="24"/>
          </w:rPr>
          <w:t>events@arena-international.com</w:t>
        </w:r>
      </w:hyperlink>
      <w:r w:rsidR="008F377F">
        <w:rPr>
          <w:b/>
          <w:color w:val="FF0000"/>
          <w:sz w:val="24"/>
          <w:szCs w:val="24"/>
        </w:rPr>
        <w:t xml:space="preserve"> </w:t>
      </w:r>
      <w:hyperlink r:id="rId10" w:history="1"/>
      <w:r w:rsidR="001A41CD">
        <w:t xml:space="preserve"> </w:t>
      </w:r>
      <w:r w:rsidR="000D1A98">
        <w:rPr>
          <w:b/>
          <w:color w:val="FF0000"/>
          <w:sz w:val="24"/>
          <w:szCs w:val="24"/>
        </w:rPr>
        <w:t xml:space="preserve">by </w:t>
      </w:r>
      <w:r w:rsidR="00AA56B3">
        <w:rPr>
          <w:b/>
          <w:color w:val="FF0000"/>
          <w:sz w:val="24"/>
          <w:szCs w:val="24"/>
        </w:rPr>
        <w:t>2</w:t>
      </w:r>
      <w:r w:rsidR="005D56D0">
        <w:rPr>
          <w:b/>
          <w:color w:val="FF0000"/>
          <w:sz w:val="24"/>
          <w:szCs w:val="24"/>
        </w:rPr>
        <w:t>7</w:t>
      </w:r>
      <w:r w:rsidR="008F377F">
        <w:rPr>
          <w:b/>
          <w:color w:val="FF0000"/>
          <w:sz w:val="24"/>
          <w:szCs w:val="24"/>
        </w:rPr>
        <w:t>.0</w:t>
      </w:r>
      <w:r w:rsidR="00AA56B3">
        <w:rPr>
          <w:b/>
          <w:color w:val="FF0000"/>
          <w:sz w:val="24"/>
          <w:szCs w:val="24"/>
        </w:rPr>
        <w:t>9</w:t>
      </w:r>
      <w:r w:rsidR="00007B7A">
        <w:rPr>
          <w:b/>
          <w:color w:val="FF0000"/>
          <w:sz w:val="24"/>
          <w:szCs w:val="24"/>
        </w:rPr>
        <w:t>.</w:t>
      </w:r>
      <w:r w:rsidR="008F377F">
        <w:rPr>
          <w:b/>
          <w:color w:val="FF0000"/>
          <w:sz w:val="24"/>
          <w:szCs w:val="24"/>
        </w:rPr>
        <w:t>19</w:t>
      </w:r>
    </w:p>
    <w:sectPr w:rsidR="006E6B8B" w:rsidRPr="002064CE" w:rsidSect="00225812">
      <w:headerReference w:type="default" r:id="rId11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3F" w:rsidRDefault="00E3473F" w:rsidP="001354AB">
      <w:pPr>
        <w:spacing w:after="0" w:line="240" w:lineRule="auto"/>
      </w:pPr>
      <w:r>
        <w:separator/>
      </w:r>
    </w:p>
  </w:endnote>
  <w:endnote w:type="continuationSeparator" w:id="0">
    <w:p w:rsidR="00E3473F" w:rsidRDefault="00E3473F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3F" w:rsidRDefault="00E3473F" w:rsidP="001354AB">
      <w:pPr>
        <w:spacing w:after="0" w:line="240" w:lineRule="auto"/>
      </w:pPr>
      <w:r>
        <w:separator/>
      </w:r>
    </w:p>
  </w:footnote>
  <w:footnote w:type="continuationSeparator" w:id="0">
    <w:p w:rsidR="00E3473F" w:rsidRDefault="00E3473F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5" w:rsidRPr="00C86BC4" w:rsidRDefault="00892675" w:rsidP="00A60F5C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189230</wp:posOffset>
          </wp:positionV>
          <wp:extent cx="1078230" cy="213995"/>
          <wp:effectExtent l="19050" t="0" r="7620" b="0"/>
          <wp:wrapTight wrapText="bothSides">
            <wp:wrapPolygon edited="0">
              <wp:start x="-382" y="0"/>
              <wp:lineTo x="-382" y="19228"/>
              <wp:lineTo x="21753" y="19228"/>
              <wp:lineTo x="21753" y="0"/>
              <wp:lineTo x="-382" y="0"/>
            </wp:wrapPolygon>
          </wp:wrapTight>
          <wp:docPr id="2" name="Picture 1" descr="RetailBankerInt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ailBankerInt_Logo_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EC4D46"/>
    <w:multiLevelType w:val="multilevel"/>
    <w:tmpl w:val="81A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B1E6A"/>
    <w:multiLevelType w:val="multilevel"/>
    <w:tmpl w:val="1FD2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1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07B7A"/>
    <w:rsid w:val="00012C1E"/>
    <w:rsid w:val="0004655D"/>
    <w:rsid w:val="000507AA"/>
    <w:rsid w:val="00051245"/>
    <w:rsid w:val="0006073C"/>
    <w:rsid w:val="00070C23"/>
    <w:rsid w:val="00075396"/>
    <w:rsid w:val="000D1A98"/>
    <w:rsid w:val="000E3314"/>
    <w:rsid w:val="000F50FB"/>
    <w:rsid w:val="000F52C9"/>
    <w:rsid w:val="000F7CF0"/>
    <w:rsid w:val="00127D72"/>
    <w:rsid w:val="00130E9D"/>
    <w:rsid w:val="0013242A"/>
    <w:rsid w:val="001354AB"/>
    <w:rsid w:val="00137DDE"/>
    <w:rsid w:val="00155100"/>
    <w:rsid w:val="00165EF1"/>
    <w:rsid w:val="0017268C"/>
    <w:rsid w:val="00174333"/>
    <w:rsid w:val="001A315C"/>
    <w:rsid w:val="001A41CD"/>
    <w:rsid w:val="001A44A1"/>
    <w:rsid w:val="001B5C09"/>
    <w:rsid w:val="001C0607"/>
    <w:rsid w:val="001C18DE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6074"/>
    <w:rsid w:val="002B2D19"/>
    <w:rsid w:val="002B6784"/>
    <w:rsid w:val="002B7848"/>
    <w:rsid w:val="002C7B71"/>
    <w:rsid w:val="002D396D"/>
    <w:rsid w:val="002E466F"/>
    <w:rsid w:val="003148EA"/>
    <w:rsid w:val="00325BB2"/>
    <w:rsid w:val="00374776"/>
    <w:rsid w:val="00396CA6"/>
    <w:rsid w:val="003D54B7"/>
    <w:rsid w:val="003F3DC4"/>
    <w:rsid w:val="003F56CA"/>
    <w:rsid w:val="00412607"/>
    <w:rsid w:val="00415DF0"/>
    <w:rsid w:val="0041714B"/>
    <w:rsid w:val="00420BA0"/>
    <w:rsid w:val="0042474E"/>
    <w:rsid w:val="00425CCD"/>
    <w:rsid w:val="00427CE3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425AB"/>
    <w:rsid w:val="005578FA"/>
    <w:rsid w:val="005706CC"/>
    <w:rsid w:val="005715DC"/>
    <w:rsid w:val="00592ECB"/>
    <w:rsid w:val="00594204"/>
    <w:rsid w:val="005A0433"/>
    <w:rsid w:val="005D56D0"/>
    <w:rsid w:val="005F783A"/>
    <w:rsid w:val="00615D0D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6F1565"/>
    <w:rsid w:val="0071726A"/>
    <w:rsid w:val="00755589"/>
    <w:rsid w:val="00764962"/>
    <w:rsid w:val="007709AF"/>
    <w:rsid w:val="00777CC0"/>
    <w:rsid w:val="00777DDC"/>
    <w:rsid w:val="0078064E"/>
    <w:rsid w:val="00785635"/>
    <w:rsid w:val="00787DD5"/>
    <w:rsid w:val="007C1D72"/>
    <w:rsid w:val="007C6D60"/>
    <w:rsid w:val="007E0F55"/>
    <w:rsid w:val="008256F1"/>
    <w:rsid w:val="00834F21"/>
    <w:rsid w:val="008368A4"/>
    <w:rsid w:val="0085334A"/>
    <w:rsid w:val="00892675"/>
    <w:rsid w:val="008B492D"/>
    <w:rsid w:val="008D23F0"/>
    <w:rsid w:val="008E00B7"/>
    <w:rsid w:val="008E36B4"/>
    <w:rsid w:val="008E5086"/>
    <w:rsid w:val="008F377F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7B4A"/>
    <w:rsid w:val="00A60F5C"/>
    <w:rsid w:val="00A65E10"/>
    <w:rsid w:val="00A7483C"/>
    <w:rsid w:val="00A76959"/>
    <w:rsid w:val="00A93EFC"/>
    <w:rsid w:val="00AA3F5D"/>
    <w:rsid w:val="00AA56B3"/>
    <w:rsid w:val="00AA65B2"/>
    <w:rsid w:val="00AD738D"/>
    <w:rsid w:val="00AE29AC"/>
    <w:rsid w:val="00AE6AD3"/>
    <w:rsid w:val="00AF40FE"/>
    <w:rsid w:val="00B07A0E"/>
    <w:rsid w:val="00B131C3"/>
    <w:rsid w:val="00B40B13"/>
    <w:rsid w:val="00B6266E"/>
    <w:rsid w:val="00B76149"/>
    <w:rsid w:val="00B82BB7"/>
    <w:rsid w:val="00B83EA9"/>
    <w:rsid w:val="00B91643"/>
    <w:rsid w:val="00BB5284"/>
    <w:rsid w:val="00BC478E"/>
    <w:rsid w:val="00BE1403"/>
    <w:rsid w:val="00C40774"/>
    <w:rsid w:val="00C839CA"/>
    <w:rsid w:val="00C86BC4"/>
    <w:rsid w:val="00C87BA2"/>
    <w:rsid w:val="00CB4DB3"/>
    <w:rsid w:val="00CD5A63"/>
    <w:rsid w:val="00D67C72"/>
    <w:rsid w:val="00D71BFD"/>
    <w:rsid w:val="00DE593E"/>
    <w:rsid w:val="00DE6FFF"/>
    <w:rsid w:val="00DE795E"/>
    <w:rsid w:val="00E3004D"/>
    <w:rsid w:val="00E3473F"/>
    <w:rsid w:val="00E64A83"/>
    <w:rsid w:val="00E65273"/>
    <w:rsid w:val="00EA100C"/>
    <w:rsid w:val="00EF566F"/>
    <w:rsid w:val="00F235D0"/>
    <w:rsid w:val="00F5274E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F52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F5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BI18awards@comp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arena-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1293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Ray Giddings</cp:lastModifiedBy>
  <cp:revision>2</cp:revision>
  <cp:lastPrinted>2013-01-14T13:58:00Z</cp:lastPrinted>
  <dcterms:created xsi:type="dcterms:W3CDTF">2019-09-03T10:30:00Z</dcterms:created>
  <dcterms:modified xsi:type="dcterms:W3CDTF">2019-09-03T10:30:00Z</dcterms:modified>
</cp:coreProperties>
</file>